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Barrier-Led Tool Chooser</w:t>
      </w:r>
    </w:p>
    <w:p>
      <w:r>
        <w:rPr>
          <w:b/>
          <w:color w:val="116B72"/>
          <w:sz w:val="26"/>
        </w:rPr>
        <w:t>Back in the Room Education · AI &amp; Digital Learning Hub</w:t>
      </w:r>
    </w:p>
    <w:p>
      <w:r>
        <w:t>Match the barrier to options to try — with the checks to run first.</w:t>
      </w:r>
    </w:p>
    <w:p/>
    <w:p>
      <w:pPr>
        <w:pStyle w:val="Heading2"/>
      </w:pPr>
      <w:r>
        <w:t>Start with the barrier, not the tool</w:t>
      </w:r>
    </w:p>
    <w:p>
      <w:r>
        <w:t>No single tool works for every learner, even within one diagnosis. Try options, listen to the learner, keep what works.</w:t>
      </w:r>
    </w:p>
    <w:p>
      <w:pPr>
        <w:pStyle w:val="Heading3"/>
      </w:pPr>
      <w:r>
        <w:t>Reading and literacy (incl. dyslexia)</w:t>
      </w:r>
    </w:p>
    <w:p>
      <w:r>
        <w:t>Text-to-speech · adjustable font/spacing/line length · reading pens for print (where allowed) · teacher-checked AI simplification alongside the original · glossaries</w:t>
      </w:r>
    </w:p>
    <w:p>
      <w:pPr>
        <w:pStyle w:val="Heading3"/>
      </w:pPr>
      <w:r>
        <w:t>Writing and expression</w:t>
      </w:r>
    </w:p>
    <w:p>
      <w:r>
        <w:t>Speech-to-text followed by editing · sentence starters · writing frames · mind maps · oral/video/annotated diagrams where permitted</w:t>
      </w:r>
    </w:p>
    <w:p>
      <w:pPr>
        <w:pStyle w:val="Heading3"/>
      </w:pPr>
      <w:r>
        <w:t>Autism</w:t>
      </w:r>
    </w:p>
    <w:p>
      <w:r>
        <w:t>Predictable routines · visual schedules · literal instructions and ‘what finished looks like’ · advance notice of change · quiet ways to ask for help</w:t>
      </w:r>
    </w:p>
    <w:p>
      <w:pPr>
        <w:pStyle w:val="Heading3"/>
      </w:pPr>
      <w:r>
        <w:t>ADHD</w:t>
      </w:r>
    </w:p>
    <w:p>
      <w:r>
        <w:t>Chunked tasks · timers and checklists · short feedback · editable first-five-minutes plan</w:t>
      </w:r>
    </w:p>
    <w:p>
      <w:pPr>
        <w:pStyle w:val="Heading3"/>
      </w:pPr>
      <w:r>
        <w:t>Visual impairment</w:t>
      </w:r>
    </w:p>
    <w:p>
      <w:r>
        <w:t>Screen readers · magnification · specialist-team input · semantic headings, alt text and contrast · audio-described diagrams</w:t>
      </w:r>
    </w:p>
    <w:p>
      <w:pPr>
        <w:pStyle w:val="Heading3"/>
      </w:pPr>
      <w:r>
        <w:t>Communication difficulties</w:t>
      </w:r>
    </w:p>
    <w:p>
      <w:r>
        <w:t>Symbols · choice boards · speech-to-text and text-to-speech · processing time · checking understanding without relying only on spoken answers</w:t>
      </w:r>
    </w:p>
    <w:p>
      <w:pPr>
        <w:pStyle w:val="Heading3"/>
      </w:pPr>
      <w:r>
        <w:t>Overlapping needs</w:t>
      </w:r>
    </w:p>
    <w:p>
      <w:r>
        <w:t>Avoid diagnosis-led prescriptions · combine appropriate adjustments with learner input</w:t>
      </w:r>
    </w:p>
    <w:p>
      <w:pPr>
        <w:pStyle w:val="Heading2"/>
      </w:pPr>
      <w:r>
        <w:t>Five checks before using any option</w:t>
      </w:r>
    </w:p>
    <w:p>
      <w:pPr>
        <w:pStyle w:val="ListNumber"/>
      </w:pPr>
      <w:r>
        <w:t>Is it accessible to this learner (including with their assistive technology)?</w:t>
      </w:r>
    </w:p>
    <w:p>
      <w:pPr>
        <w:pStyle w:val="ListNumber"/>
      </w:pPr>
      <w:r>
        <w:t>What data does it need, and is that acceptable under our policy?</w:t>
      </w:r>
    </w:p>
    <w:p>
      <w:pPr>
        <w:pStyle w:val="ListNumber"/>
      </w:pPr>
      <w:r>
        <w:t>Does it need an account, and does the learner meet the age terms?</w:t>
      </w:r>
    </w:p>
    <w:p>
      <w:pPr>
        <w:pStyle w:val="ListNumber"/>
      </w:pPr>
      <w:r>
        <w:t>Does it support without substituting for the learner’s own thinking?</w:t>
      </w:r>
    </w:p>
    <w:p>
      <w:pPr>
        <w:pStyle w:val="ListNumber"/>
      </w:pPr>
      <w:r>
        <w:t>Can we offer it low-stigma, to everyone?</w:t>
      </w:r>
    </w:p>
    <w:p>
      <w:r>
        <w:rPr>
          <w:color w:val="51616C"/>
          <w:sz w:val="16"/>
        </w:rPr>
        <w:t>7 November 2026 · Back in the Room Education · backintheroomeducation.co.uk</w:t>
      </w:r>
    </w:p>
    <w:sectPr w:rsidR="00FC693F" w:rsidRPr="0006063C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0F1F2B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F1F2B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116B72"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